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DB" w:rsidRDefault="007C6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981792" cy="963383"/>
            <wp:effectExtent l="0" t="0" r="0" b="0"/>
            <wp:docPr id="3" name="image1.png" descr="C:\Users\Usuario\Downloads\IMG-20240313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Downloads\IMG-20240313-WA004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92" cy="963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70DB" w:rsidRDefault="006B70DB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6B70DB" w:rsidRDefault="007C697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</w:rPr>
        <w:t xml:space="preserve">Provincia de Buenos Aires - Dirección General de Cultura y Educación - </w:t>
      </w:r>
      <w:r>
        <w:rPr>
          <w:rFonts w:ascii="Times New Roman" w:eastAsia="Times New Roman" w:hAnsi="Times New Roman"/>
          <w:b/>
        </w:rPr>
        <w:t xml:space="preserve"> Dirección de Educación Superior </w:t>
      </w:r>
      <w:r>
        <w:rPr>
          <w:rFonts w:ascii="Times New Roman" w:eastAsia="Times New Roman" w:hAnsi="Times New Roman"/>
          <w:b/>
          <w:color w:val="000000"/>
        </w:rPr>
        <w:t>Instituto Superior de Formación Docente y Técnica Nº 46 “2 de abril de 1982”</w:t>
      </w:r>
    </w:p>
    <w:p w:rsidR="006B70DB" w:rsidRDefault="007C697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Sede: Pueyrredón 1250 - Sub-sede: Pueyrredón 914 -  Ramos Mejía -  La Matanza</w:t>
      </w:r>
    </w:p>
    <w:p w:rsidR="006B70DB" w:rsidRDefault="007C697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hyperlink r:id="rId9">
        <w:r>
          <w:rPr>
            <w:rFonts w:ascii="Times New Roman" w:eastAsia="Times New Roman" w:hAnsi="Times New Roman"/>
            <w:b/>
            <w:color w:val="0000FF"/>
          </w:rPr>
          <w:t>www.instituto46.edu.ar</w:t>
        </w:r>
      </w:hyperlink>
      <w:r>
        <w:rPr>
          <w:rFonts w:ascii="Times New Roman" w:eastAsia="Times New Roman" w:hAnsi="Times New Roman"/>
          <w:b/>
          <w:color w:val="000000"/>
        </w:rPr>
        <w:t xml:space="preserve"> - @instituo.46</w:t>
      </w:r>
    </w:p>
    <w:p w:rsidR="006B70DB" w:rsidRDefault="006B70DB">
      <w:pPr>
        <w:jc w:val="center"/>
        <w:rPr>
          <w:rFonts w:ascii="Times New Roman" w:eastAsia="Times New Roman" w:hAnsi="Times New Roman"/>
          <w:color w:val="0070C0"/>
        </w:rPr>
      </w:pPr>
    </w:p>
    <w:p w:rsidR="006B70DB" w:rsidRDefault="006B70DB">
      <w:pPr>
        <w:jc w:val="both"/>
        <w:rPr>
          <w:rFonts w:ascii="Times New Roman" w:eastAsia="Times New Roman" w:hAnsi="Times New Roman"/>
          <w:color w:val="0070C0"/>
        </w:rPr>
      </w:pPr>
    </w:p>
    <w:p w:rsidR="006B70DB" w:rsidRDefault="007C6976">
      <w:pPr>
        <w:spacing w:line="360" w:lineRule="auto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PROGRAMA</w:t>
      </w:r>
    </w:p>
    <w:p w:rsidR="006B70DB" w:rsidRDefault="007C6976">
      <w:pPr>
        <w:spacing w:line="360" w:lineRule="auto"/>
        <w:rPr>
          <w:b/>
          <w:sz w:val="24"/>
          <w:szCs w:val="24"/>
        </w:rPr>
      </w:pPr>
      <w:r>
        <w:rPr>
          <w:rFonts w:ascii="Times New Roman" w:eastAsia="Times New Roman" w:hAnsi="Times New Roman"/>
          <w:u w:val="single"/>
        </w:rPr>
        <w:t xml:space="preserve">-CARRERA: </w:t>
      </w:r>
      <w:r>
        <w:rPr>
          <w:b/>
          <w:sz w:val="24"/>
          <w:szCs w:val="24"/>
        </w:rPr>
        <w:t>Profesorado de Educación Secundaria en Historia.</w:t>
      </w:r>
    </w:p>
    <w:p w:rsidR="006B70DB" w:rsidRDefault="007C6976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u w:val="single"/>
        </w:rPr>
        <w:t>CURSO Y COMISIÓN</w:t>
      </w:r>
      <w:r>
        <w:rPr>
          <w:rFonts w:ascii="Times New Roman" w:eastAsia="Times New Roman" w:hAnsi="Times New Roman"/>
        </w:rPr>
        <w:t xml:space="preserve"> .</w:t>
      </w:r>
      <w:r>
        <w:rPr>
          <w:sz w:val="24"/>
          <w:szCs w:val="24"/>
        </w:rPr>
        <w:t xml:space="preserve">3 año </w:t>
      </w:r>
    </w:p>
    <w:p w:rsidR="006B70DB" w:rsidRDefault="007C6976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-PERSPECTIVA/ESPACIO CURRICULAR/MATERIA</w:t>
      </w:r>
      <w:r>
        <w:rPr>
          <w:rFonts w:ascii="Times New Roman" w:eastAsia="Times New Roman" w:hAnsi="Times New Roman"/>
        </w:rPr>
        <w:t xml:space="preserve"> </w:t>
      </w:r>
      <w:r>
        <w:rPr>
          <w:sz w:val="24"/>
          <w:szCs w:val="24"/>
        </w:rPr>
        <w:t xml:space="preserve">Perspectiva Política Institucional. </w:t>
      </w:r>
    </w:p>
    <w:p w:rsidR="006B70DB" w:rsidRDefault="007C6976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 xml:space="preserve">-DOCENTE </w:t>
      </w:r>
      <w:r>
        <w:rPr>
          <w:sz w:val="24"/>
          <w:szCs w:val="24"/>
        </w:rPr>
        <w:t xml:space="preserve"> Profesora Aguirre,Andrea Veronica.</w:t>
      </w:r>
    </w:p>
    <w:p w:rsidR="006B70DB" w:rsidRDefault="007C6976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u w:val="single"/>
        </w:rPr>
        <w:t xml:space="preserve">CORREO ELECTRÓNICO </w:t>
      </w:r>
      <w:r>
        <w:rPr>
          <w:sz w:val="24"/>
          <w:szCs w:val="24"/>
        </w:rPr>
        <w:t>andraguirre1@abc.gob.ar</w:t>
      </w:r>
    </w:p>
    <w:p w:rsidR="006B70DB" w:rsidRDefault="007C6976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u w:val="single"/>
        </w:rPr>
        <w:t xml:space="preserve">HORARIO SEMANAL DE CLASES </w:t>
      </w:r>
      <w:r>
        <w:rPr>
          <w:sz w:val="24"/>
          <w:szCs w:val="24"/>
        </w:rPr>
        <w:t>Hs. semanales 2   Hs. Anuales: 64 hs.</w:t>
      </w:r>
    </w:p>
    <w:p w:rsidR="006B70DB" w:rsidRDefault="007C6976">
      <w:pPr>
        <w:spacing w:line="360" w:lineRule="auto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-EXPECTATIVAS DE L</w:t>
      </w:r>
      <w:r>
        <w:rPr>
          <w:rFonts w:ascii="Times New Roman" w:eastAsia="Times New Roman" w:hAnsi="Times New Roman"/>
          <w:u w:val="single"/>
        </w:rPr>
        <w:t>OGRO</w:t>
      </w:r>
    </w:p>
    <w:p w:rsidR="006B70DB" w:rsidRDefault="007C6976">
      <w:pPr>
        <w:numPr>
          <w:ilvl w:val="0"/>
          <w:numId w:val="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Comprender los conceptos básicos de la Política Institucional, incluyendo la estructura y función de los diferentes organismos e instituciones gubernamentales, así como los procesos políticos y administrativos que rigen su funcionamiento.</w:t>
      </w:r>
    </w:p>
    <w:p w:rsidR="006B70DB" w:rsidRDefault="007C6976">
      <w:pPr>
        <w:numPr>
          <w:ilvl w:val="0"/>
          <w:numId w:val="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Analizar las</w:t>
      </w:r>
      <w:r>
        <w:rPr>
          <w:rFonts w:ascii="Arial" w:eastAsia="Arial" w:hAnsi="Arial" w:cs="Arial"/>
        </w:rPr>
        <w:t xml:space="preserve"> distintas posturas ideológicas que fundamentan las políticas educativas impuestas desde los poderes.  </w:t>
      </w:r>
    </w:p>
    <w:p w:rsidR="006B70DB" w:rsidRDefault="007C6976">
      <w:pPr>
        <w:numPr>
          <w:ilvl w:val="0"/>
          <w:numId w:val="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Comprender los procesos históricos y políticos en la organización del Sistema Educativo Nacional.  </w:t>
      </w:r>
    </w:p>
    <w:p w:rsidR="006B70DB" w:rsidRDefault="007C6976">
      <w:pPr>
        <w:numPr>
          <w:ilvl w:val="0"/>
          <w:numId w:val="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Reconocer los fundamentos socio-culturales que permi</w:t>
      </w:r>
      <w:r>
        <w:rPr>
          <w:rFonts w:ascii="Arial" w:eastAsia="Arial" w:hAnsi="Arial" w:cs="Arial"/>
        </w:rPr>
        <w:t xml:space="preserve">ten interpretar la realidad educativa. </w:t>
      </w:r>
    </w:p>
    <w:p w:rsidR="006B70DB" w:rsidRDefault="007C6976">
      <w:pPr>
        <w:numPr>
          <w:ilvl w:val="0"/>
          <w:numId w:val="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Desarrollar habilidades de análisis crítico y reflexivo sobre cuestiones políticas institucionales,incluyendo la capacidad de evaluar diferentes perspectivas y enfoques en relación con temas específicos.</w:t>
      </w:r>
    </w:p>
    <w:p w:rsidR="006B70DB" w:rsidRDefault="007C6976">
      <w:pPr>
        <w:numPr>
          <w:ilvl w:val="0"/>
          <w:numId w:val="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Desarrollar </w:t>
      </w:r>
      <w:r>
        <w:rPr>
          <w:rFonts w:ascii="Arial" w:eastAsia="Arial" w:hAnsi="Arial" w:cs="Arial"/>
        </w:rPr>
        <w:t>habilidades de comunicación efectiva,incluyendo la capacidad de elaborar argumentos claros y persuasivos en relación con temas políticos institucionales.</w:t>
      </w:r>
    </w:p>
    <w:p w:rsidR="006B70DB" w:rsidRDefault="007C6976">
      <w:pPr>
        <w:numPr>
          <w:ilvl w:val="0"/>
          <w:numId w:val="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Analizar los principios, fines, marco legislativo, estructura y dinámica del sistema Educativo provinc</w:t>
      </w:r>
      <w:r>
        <w:rPr>
          <w:rFonts w:ascii="Arial" w:eastAsia="Arial" w:hAnsi="Arial" w:cs="Arial"/>
        </w:rPr>
        <w:t>ial, en el contexto del Sistema Educativo Nacional, y su proyección en las instituciones.( Su incidencia en el P.I y Proyectos Áulicos)</w:t>
      </w:r>
    </w:p>
    <w:p w:rsidR="006B70DB" w:rsidRDefault="007C6976">
      <w:pPr>
        <w:numPr>
          <w:ilvl w:val="0"/>
          <w:numId w:val="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Identificar la normativa de aplicación en distintas situaciones, referidas al personal docente, a la Institución y al S</w:t>
      </w:r>
      <w:r>
        <w:rPr>
          <w:rFonts w:ascii="Arial" w:eastAsia="Arial" w:hAnsi="Arial" w:cs="Arial"/>
        </w:rPr>
        <w:t>istema Educativo. “Diferentes culturas institucionales. La Institución Escolar y sus políticas en relación al contexto</w:t>
      </w:r>
      <w:r>
        <w:rPr>
          <w:rFonts w:ascii="Arial" w:eastAsia="Arial" w:hAnsi="Arial" w:cs="Arial"/>
          <w:color w:val="FF0000"/>
        </w:rPr>
        <w:t xml:space="preserve"> </w:t>
      </w:r>
    </w:p>
    <w:p w:rsidR="006B70DB" w:rsidRDefault="007C6976">
      <w:pPr>
        <w:numPr>
          <w:ilvl w:val="0"/>
          <w:numId w:val="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Identificar la normativa de aplicación en distintas situaciones, referidas al personal docente, a la Institución y al Sistema Educativo.</w:t>
      </w:r>
      <w:r>
        <w:rPr>
          <w:rFonts w:ascii="Arial" w:eastAsia="Arial" w:hAnsi="Arial" w:cs="Arial"/>
        </w:rPr>
        <w:t xml:space="preserve"> “Diferentes culturas institucionales. La Institución Escolar y sus políticas en relación al contexto.</w:t>
      </w:r>
    </w:p>
    <w:p w:rsidR="006B70DB" w:rsidRDefault="006B70DB">
      <w:pPr>
        <w:spacing w:after="160" w:line="259" w:lineRule="auto"/>
        <w:rPr>
          <w:sz w:val="24"/>
          <w:szCs w:val="24"/>
        </w:rPr>
      </w:pPr>
    </w:p>
    <w:p w:rsidR="006B70DB" w:rsidRDefault="006B70DB">
      <w:pPr>
        <w:spacing w:line="360" w:lineRule="auto"/>
        <w:rPr>
          <w:rFonts w:ascii="Times New Roman" w:eastAsia="Times New Roman" w:hAnsi="Times New Roman"/>
          <w:u w:val="single"/>
        </w:rPr>
      </w:pPr>
    </w:p>
    <w:p w:rsidR="006B70DB" w:rsidRDefault="007C6976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-CONTENIDOS Y BIBLIOGRAFÍA.</w:t>
      </w:r>
      <w:r>
        <w:rPr>
          <w:rFonts w:ascii="Times New Roman" w:eastAsia="Times New Roman" w:hAnsi="Times New Roman"/>
        </w:rPr>
        <w:t xml:space="preserve"> </w:t>
      </w:r>
    </w:p>
    <w:p w:rsidR="006B70DB" w:rsidRDefault="007C6976">
      <w:pPr>
        <w:spacing w:before="240" w:after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Unidad N°1 :</w:t>
      </w:r>
    </w:p>
    <w:p w:rsidR="006B70DB" w:rsidRDefault="006B70DB">
      <w:pPr>
        <w:spacing w:before="240" w:after="0"/>
        <w:jc w:val="both"/>
        <w:rPr>
          <w:rFonts w:ascii="Arial" w:eastAsia="Arial" w:hAnsi="Arial" w:cs="Arial"/>
          <w:b/>
          <w:u w:val="single"/>
        </w:rPr>
      </w:pPr>
    </w:p>
    <w:p w:rsidR="006B70DB" w:rsidRDefault="007C6976">
      <w:pPr>
        <w:numPr>
          <w:ilvl w:val="0"/>
          <w:numId w:val="9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Política educativa.  Política Estado y Poder. </w:t>
      </w:r>
    </w:p>
    <w:p w:rsidR="006B70DB" w:rsidRDefault="007C6976">
      <w:pPr>
        <w:numPr>
          <w:ilvl w:val="0"/>
          <w:numId w:val="9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Contexto socioeconómico internacional, transnacionalización de la economía y su incidencia en las Políticas Educativas y en las Políticas Institucionales. </w:t>
      </w:r>
    </w:p>
    <w:p w:rsidR="006B70DB" w:rsidRDefault="007C6976">
      <w:pPr>
        <w:numPr>
          <w:ilvl w:val="0"/>
          <w:numId w:val="9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Cambios científicos y tecnológicos. Del Fordismo al Toyotismo. Las nuevas demandas del mundo y del t</w:t>
      </w:r>
      <w:r>
        <w:rPr>
          <w:rFonts w:ascii="Arial" w:eastAsia="Arial" w:hAnsi="Arial" w:cs="Arial"/>
        </w:rPr>
        <w:t xml:space="preserve">rabajo a los sistemas educativos. Los Organismos Multilaterales y su rol en los procesos de transformación educativa de los ’90. Influencias en la gestión institucional. </w:t>
      </w:r>
    </w:p>
    <w:p w:rsidR="006B70DB" w:rsidRDefault="007C6976">
      <w:pPr>
        <w:numPr>
          <w:ilvl w:val="0"/>
          <w:numId w:val="9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Estado y Educación. Rol del Estado en la regulación, gestión y financiamiento de la educación.  </w:t>
      </w:r>
    </w:p>
    <w:p w:rsidR="006B70DB" w:rsidRDefault="007C6976">
      <w:pPr>
        <w:numPr>
          <w:ilvl w:val="0"/>
          <w:numId w:val="9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Bases legales del Sistema Educativo Argentino (Ley 24.195) y del Sistema Educativo Provincial (Ley 11.612).</w:t>
      </w:r>
    </w:p>
    <w:p w:rsidR="006B70DB" w:rsidRDefault="007C6976">
      <w:pPr>
        <w:numPr>
          <w:ilvl w:val="0"/>
          <w:numId w:val="9"/>
        </w:numPr>
        <w:spacing w:after="6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Centralización y descentralización: tensiones y con</w:t>
      </w:r>
      <w:r>
        <w:rPr>
          <w:rFonts w:ascii="Arial" w:eastAsia="Arial" w:hAnsi="Arial" w:cs="Arial"/>
        </w:rPr>
        <w:t>flictos. Fundamentos de la Política Educativa de la Jurisdicción y del Nivel. Relación con las políticas institucionales.</w:t>
      </w:r>
    </w:p>
    <w:p w:rsidR="006B70DB" w:rsidRDefault="006B70DB">
      <w:pPr>
        <w:spacing w:after="6" w:line="302" w:lineRule="auto"/>
        <w:ind w:left="720"/>
        <w:jc w:val="both"/>
        <w:rPr>
          <w:rFonts w:ascii="Arial" w:eastAsia="Arial" w:hAnsi="Arial" w:cs="Arial"/>
        </w:rPr>
      </w:pPr>
    </w:p>
    <w:p w:rsidR="006B70DB" w:rsidRDefault="007C6976">
      <w:pPr>
        <w:spacing w:after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  <w:u w:val="single"/>
        </w:rPr>
        <w:t>Unidad N°2:</w:t>
      </w:r>
    </w:p>
    <w:p w:rsidR="006B70DB" w:rsidRDefault="007C6976">
      <w:pPr>
        <w:numPr>
          <w:ilvl w:val="0"/>
          <w:numId w:val="8"/>
        </w:numPr>
        <w:spacing w:before="24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Fundamentos de la Política Educativa de la Jurisdicción y del Nivel. Relación con las políticas institucionales. </w:t>
      </w:r>
    </w:p>
    <w:p w:rsidR="006B70DB" w:rsidRDefault="007C6976">
      <w:pPr>
        <w:numPr>
          <w:ilvl w:val="0"/>
          <w:numId w:val="8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</w:t>
      </w:r>
      <w:r>
        <w:rPr>
          <w:rFonts w:ascii="Arial" w:eastAsia="Arial" w:hAnsi="Arial" w:cs="Arial"/>
        </w:rPr>
        <w:t xml:space="preserve">tución: concepto. La escuela como institución. Análisis institucional. </w:t>
      </w:r>
    </w:p>
    <w:p w:rsidR="006B70DB" w:rsidRDefault="007C6976">
      <w:pPr>
        <w:numPr>
          <w:ilvl w:val="0"/>
          <w:numId w:val="8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organización escolar. Organigrama. Aspectos estructurantes de la organización escolar.  </w:t>
      </w:r>
    </w:p>
    <w:p w:rsidR="006B70DB" w:rsidRDefault="007C6976">
      <w:pPr>
        <w:numPr>
          <w:ilvl w:val="0"/>
          <w:numId w:val="8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Institución Educativa como centro cultural y social: su inserción en la comunidad. Partic</w:t>
      </w:r>
      <w:r>
        <w:rPr>
          <w:rFonts w:ascii="Arial" w:eastAsia="Arial" w:hAnsi="Arial" w:cs="Arial"/>
        </w:rPr>
        <w:t xml:space="preserve">ipación comunitaria y construcción de políticas institucionales. Participación de otros actores e instituciones sociales en la educación. Formas y modos de participación. </w:t>
      </w:r>
    </w:p>
    <w:p w:rsidR="006B70DB" w:rsidRDefault="007C6976">
      <w:pPr>
        <w:numPr>
          <w:ilvl w:val="0"/>
          <w:numId w:val="8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Cultura, poder y conflicto en la organización escolar. Dimensiones, concepciones y f</w:t>
      </w:r>
      <w:r>
        <w:rPr>
          <w:rFonts w:ascii="Arial" w:eastAsia="Arial" w:hAnsi="Arial" w:cs="Arial"/>
        </w:rPr>
        <w:t xml:space="preserve">uentes del poder. La cultura escolar. </w:t>
      </w:r>
    </w:p>
    <w:p w:rsidR="006B70DB" w:rsidRDefault="007C6976">
      <w:pPr>
        <w:numPr>
          <w:ilvl w:val="0"/>
          <w:numId w:val="8"/>
        </w:numPr>
        <w:spacing w:after="6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equipo de conducción del establecimiento escolar. Funciones del equipo de conducción.</w:t>
      </w:r>
    </w:p>
    <w:p w:rsidR="006B70DB" w:rsidRDefault="006B70DB">
      <w:pPr>
        <w:spacing w:after="6" w:line="302" w:lineRule="auto"/>
        <w:ind w:left="720"/>
        <w:jc w:val="both"/>
        <w:rPr>
          <w:rFonts w:ascii="Arial" w:eastAsia="Arial" w:hAnsi="Arial" w:cs="Arial"/>
        </w:rPr>
      </w:pPr>
    </w:p>
    <w:p w:rsidR="006B70DB" w:rsidRDefault="007C6976">
      <w:pPr>
        <w:spacing w:after="104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Unidad N°3:</w:t>
      </w:r>
    </w:p>
    <w:p w:rsidR="006B70DB" w:rsidRDefault="006B70DB">
      <w:pPr>
        <w:spacing w:after="104"/>
        <w:ind w:left="1801"/>
        <w:rPr>
          <w:rFonts w:ascii="Arial" w:eastAsia="Arial" w:hAnsi="Arial" w:cs="Arial"/>
          <w:b/>
          <w:u w:val="single"/>
        </w:rPr>
      </w:pPr>
    </w:p>
    <w:p w:rsidR="006B70DB" w:rsidRDefault="007C6976">
      <w:pPr>
        <w:numPr>
          <w:ilvl w:val="0"/>
          <w:numId w:val="15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Formación Docente: Instituciones de Grado y de Formación Docente Continua.  </w:t>
      </w:r>
    </w:p>
    <w:p w:rsidR="006B70DB" w:rsidRDefault="007C6976">
      <w:pPr>
        <w:numPr>
          <w:ilvl w:val="0"/>
          <w:numId w:val="15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Desempeño del rol: normativa que lo r</w:t>
      </w:r>
      <w:r>
        <w:rPr>
          <w:rFonts w:ascii="Arial" w:eastAsia="Arial" w:hAnsi="Arial" w:cs="Arial"/>
        </w:rPr>
        <w:t xml:space="preserve">egula, ámbitos de trabajo, asociaciones profesionales y gremiales. Las condiciones laborales docentes. </w:t>
      </w:r>
    </w:p>
    <w:p w:rsidR="006B70DB" w:rsidRDefault="007C6976">
      <w:pPr>
        <w:numPr>
          <w:ilvl w:val="0"/>
          <w:numId w:val="15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Carrera Docente: procesos de evaluación profesional y acreditación académica. Debates actuales en torno al rol docente: ¿profesional, trabajador, técnic</w:t>
      </w:r>
      <w:r>
        <w:rPr>
          <w:rFonts w:ascii="Arial" w:eastAsia="Arial" w:hAnsi="Arial" w:cs="Arial"/>
        </w:rPr>
        <w:t xml:space="preserve">o o intelectual crítico? </w:t>
      </w:r>
    </w:p>
    <w:p w:rsidR="006B70DB" w:rsidRDefault="007C6976">
      <w:pPr>
        <w:numPr>
          <w:ilvl w:val="0"/>
          <w:numId w:val="15"/>
        </w:numPr>
        <w:spacing w:after="0" w:line="30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Situación actual de la formación docente. Re-definición del rol en relación al sujeto pedagógico y a los diversos contextos socioculturales. </w:t>
      </w:r>
    </w:p>
    <w:p w:rsidR="006B70DB" w:rsidRDefault="007C6976">
      <w:pPr>
        <w:numPr>
          <w:ilvl w:val="0"/>
          <w:numId w:val="15"/>
        </w:numPr>
        <w:spacing w:after="161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Fundamentos políticos del rol y de la práctica docente. </w:t>
      </w:r>
    </w:p>
    <w:p w:rsidR="006B70DB" w:rsidRDefault="006B70DB">
      <w:pPr>
        <w:spacing w:after="161" w:line="264" w:lineRule="auto"/>
        <w:ind w:left="720"/>
        <w:jc w:val="both"/>
        <w:rPr>
          <w:rFonts w:ascii="Arial" w:eastAsia="Arial" w:hAnsi="Arial" w:cs="Arial"/>
        </w:rPr>
      </w:pPr>
    </w:p>
    <w:p w:rsidR="006B70DB" w:rsidRDefault="007C6976">
      <w:pPr>
        <w:numPr>
          <w:ilvl w:val="0"/>
          <w:numId w:val="15"/>
        </w:numPr>
        <w:spacing w:after="0" w:line="259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BIBLIOGRAFÍA PARA EL ESTUDIANTE </w:t>
      </w:r>
    </w:p>
    <w:p w:rsidR="006B70DB" w:rsidRDefault="007C6976">
      <w:pPr>
        <w:spacing w:before="240" w:after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        </w:t>
      </w:r>
      <w:r>
        <w:rPr>
          <w:rFonts w:ascii="Arial" w:eastAsia="Arial" w:hAnsi="Arial" w:cs="Arial"/>
          <w:b/>
          <w:u w:val="single"/>
        </w:rPr>
        <w:t xml:space="preserve">  Bibliografía Obligatoria Unidad N°1 :</w:t>
      </w:r>
    </w:p>
    <w:p w:rsidR="006B70DB" w:rsidRDefault="007C6976">
      <w:pPr>
        <w:numPr>
          <w:ilvl w:val="0"/>
          <w:numId w:val="2"/>
        </w:numPr>
        <w:spacing w:before="24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Dieterich, Heinz. (1996). “Globalización y educación: La ideología” Tomado de     “La sociedad Global. Mortiz, Joaquín” </w:t>
      </w:r>
    </w:p>
    <w:p w:rsidR="006B70DB" w:rsidRDefault="007C6976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Filmus, Daniel (2003) “Estado, sociedad y educación </w:t>
      </w:r>
      <w:r>
        <w:rPr>
          <w:rFonts w:ascii="Arial" w:eastAsia="Arial" w:hAnsi="Arial" w:cs="Arial"/>
        </w:rPr>
        <w:t>en la Argentina de fin de siglo” Buenos Aires. Ed. Troquel</w:t>
      </w:r>
    </w:p>
    <w:p w:rsidR="006B70DB" w:rsidRDefault="007C6976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Garcia Garrido, José Luis. (1992) “Problemas mundiales de la educación: nuevas perspectivas” Dykinson. Capítulo V. </w:t>
      </w:r>
    </w:p>
    <w:p w:rsidR="006B70DB" w:rsidRDefault="007C6976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Martínez Paz, Fernando (1998). “Política educacional: fundamentos y dimensiones”.</w:t>
      </w:r>
      <w:r>
        <w:rPr>
          <w:rFonts w:ascii="Arial" w:eastAsia="Arial" w:hAnsi="Arial" w:cs="Arial"/>
        </w:rPr>
        <w:t xml:space="preserve"> Academia Nacional de Educación. República Argentina.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Academia Nacional de Educación. Páginas 1 a 21 (Introducción. Capítulo I y II.)</w:t>
      </w:r>
    </w:p>
    <w:p w:rsidR="006B70DB" w:rsidRDefault="007C6976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Ministerio de Educación, Ciencia y Tecnología. (julio 2003). “Descentralización y estrategias en educación”. </w:t>
      </w:r>
    </w:p>
    <w:p w:rsidR="006B70DB" w:rsidRDefault="007C6976">
      <w:pPr>
        <w:spacing w:after="0"/>
        <w:ind w:left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Optativa.</w:t>
      </w:r>
    </w:p>
    <w:p w:rsidR="006B70DB" w:rsidRDefault="007C6976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</w:rPr>
        <w:t>rín, Edgar. (1999). “La cabeza bien puesta. Repensar la reforma - ``Reformar el pensamiento”. Buenos Aires. Ediciones Nueva Visión. Capítulo 6.</w:t>
      </w:r>
    </w:p>
    <w:p w:rsidR="006B70DB" w:rsidRDefault="007C6976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Filmus, Daniel. (1997) “La descentralización educativa en Argentina: elementos para el análisis de un proceso abierto”. Extraído de: Coloquio Regional sobre Descentralización de la Educación en América Central, Cuba y República Dominicana. -CLAD; Países Ba</w:t>
      </w:r>
      <w:r>
        <w:rPr>
          <w:rFonts w:ascii="Arial" w:eastAsia="Arial" w:hAnsi="Arial" w:cs="Arial"/>
        </w:rPr>
        <w:t>jos. Gobierno Nacional; Costa Rica. Ministerio de Planificación Nacional y Política Económica; Costa Rica. Ministerio de Educación Pública.</w:t>
      </w:r>
    </w:p>
    <w:p w:rsidR="006B70DB" w:rsidRDefault="006B70DB">
      <w:pPr>
        <w:spacing w:after="0"/>
        <w:ind w:left="1081"/>
        <w:rPr>
          <w:rFonts w:ascii="Arial" w:eastAsia="Arial" w:hAnsi="Arial" w:cs="Arial"/>
        </w:rPr>
      </w:pPr>
    </w:p>
    <w:p w:rsidR="006B70DB" w:rsidRDefault="007C6976">
      <w:pPr>
        <w:numPr>
          <w:ilvl w:val="0"/>
          <w:numId w:val="10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Bases legales</w:t>
      </w:r>
    </w:p>
    <w:p w:rsidR="006B70DB" w:rsidRDefault="007C6976">
      <w:pPr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Ley 1420</w:t>
      </w:r>
    </w:p>
    <w:p w:rsidR="006B70DB" w:rsidRDefault="007C6976">
      <w:pPr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Ley 24195</w:t>
      </w:r>
    </w:p>
    <w:p w:rsidR="006B70DB" w:rsidRDefault="007C6976">
      <w:pPr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Ley 11612</w:t>
      </w:r>
    </w:p>
    <w:p w:rsidR="006B70DB" w:rsidRDefault="006B70DB">
      <w:pPr>
        <w:numPr>
          <w:ilvl w:val="0"/>
          <w:numId w:val="11"/>
        </w:numPr>
        <w:spacing w:after="0"/>
        <w:rPr>
          <w:rFonts w:ascii="Arial" w:eastAsia="Arial" w:hAnsi="Arial" w:cs="Arial"/>
        </w:rPr>
      </w:pPr>
    </w:p>
    <w:p w:rsidR="006B70DB" w:rsidRDefault="007C6976">
      <w:pPr>
        <w:spacing w:after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  <w:u w:val="single"/>
        </w:rPr>
        <w:t xml:space="preserve"> Bibliografía obligatoria Unidad N° 2 </w:t>
      </w:r>
    </w:p>
    <w:p w:rsidR="006B70DB" w:rsidRDefault="006B70DB">
      <w:pPr>
        <w:spacing w:after="0"/>
        <w:rPr>
          <w:rFonts w:ascii="Arial" w:eastAsia="Arial" w:hAnsi="Arial" w:cs="Arial"/>
          <w:b/>
        </w:rPr>
      </w:pPr>
    </w:p>
    <w:p w:rsidR="006B70DB" w:rsidRDefault="007C6976">
      <w:pPr>
        <w:numPr>
          <w:ilvl w:val="0"/>
          <w:numId w:val="1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Arnaldi, Natalia; Bustos, Marta y Dussel “Gestión de las instituciones educativas. Cultura e identidad Institucional” Ed. 12NTES. Pp. 31 A 47</w:t>
      </w:r>
    </w:p>
    <w:p w:rsidR="006B70DB" w:rsidRDefault="007C6976">
      <w:pPr>
        <w:numPr>
          <w:ilvl w:val="0"/>
          <w:numId w:val="1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Butelman, Ida. (1994). “Psicopedagogía institucional. Una formulación anal</w:t>
      </w:r>
      <w:r>
        <w:rPr>
          <w:rFonts w:ascii="Arial" w:eastAsia="Arial" w:hAnsi="Arial" w:cs="Arial"/>
        </w:rPr>
        <w:t xml:space="preserve">ítica”. Buenos Aires. Ed. Paidós. Capítulo I. </w:t>
      </w:r>
    </w:p>
    <w:p w:rsidR="006B70DB" w:rsidRDefault="007C6976">
      <w:pPr>
        <w:numPr>
          <w:ilvl w:val="0"/>
          <w:numId w:val="1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Duschatzky, Silvia y Birgin, Alejandra. (2001). “¿Dónde está la escuela? Ensayos sobre la gestión institucional en tiempos de turbulencia.” Buenos Aires. FLACSO. Epílogo: La ética de la gestión. Pp. 140 a 149 </w:t>
      </w:r>
    </w:p>
    <w:p w:rsidR="006B70DB" w:rsidRDefault="007C6976">
      <w:pPr>
        <w:numPr>
          <w:ilvl w:val="0"/>
          <w:numId w:val="1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Frigerio, Graciela; Poggi, Margarita y Tiramonti, Guillermina. (1992) “Las instituciones educativas. Cara y seca”. Buenos Aires. TROQUEL. Educación. Serie FLACSO-Acción. Capítulo III. Pp. 56 a 64.</w:t>
      </w:r>
    </w:p>
    <w:p w:rsidR="006B70DB" w:rsidRDefault="007C6976">
      <w:pPr>
        <w:numPr>
          <w:ilvl w:val="0"/>
          <w:numId w:val="1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Bases legales</w:t>
      </w:r>
    </w:p>
    <w:p w:rsidR="006B70DB" w:rsidRDefault="007C6976">
      <w:pPr>
        <w:numPr>
          <w:ilvl w:val="1"/>
          <w:numId w:val="1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Ley de Educación Nacional N° 26.206/06. Títu</w:t>
      </w:r>
      <w:r>
        <w:rPr>
          <w:rFonts w:ascii="Arial" w:eastAsia="Arial" w:hAnsi="Arial" w:cs="Arial"/>
        </w:rPr>
        <w:t>lo I, Título II: cap. I, IV, V</w:t>
      </w:r>
    </w:p>
    <w:p w:rsidR="006B70DB" w:rsidRDefault="007C6976">
      <w:pPr>
        <w:numPr>
          <w:ilvl w:val="1"/>
          <w:numId w:val="1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Reglamento general de instituciones educativas de la Provincia de Buenos Aires. Decreto 2.299/1. Pp. 13 a 18</w:t>
      </w:r>
    </w:p>
    <w:p w:rsidR="006B70DB" w:rsidRDefault="007C6976">
      <w:pPr>
        <w:numPr>
          <w:ilvl w:val="1"/>
          <w:numId w:val="1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Ley de educación Provincial 13.688/07.  Título II. Capítulo. II, V. </w:t>
      </w:r>
    </w:p>
    <w:p w:rsidR="006B70DB" w:rsidRDefault="007C6976">
      <w:pPr>
        <w:numPr>
          <w:ilvl w:val="1"/>
          <w:numId w:val="13"/>
        </w:numPr>
        <w:spacing w:after="1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Estatuto del docente de la Provincia de Bs As. </w:t>
      </w:r>
      <w:r>
        <w:rPr>
          <w:rFonts w:ascii="Arial" w:eastAsia="Arial" w:hAnsi="Arial" w:cs="Arial"/>
        </w:rPr>
        <w:t>Ley 10579. Capítulo II.</w:t>
      </w:r>
    </w:p>
    <w:p w:rsidR="006B70DB" w:rsidRDefault="007C6976">
      <w:pPr>
        <w:spacing w:after="0"/>
        <w:ind w:left="108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Optativa</w:t>
      </w:r>
    </w:p>
    <w:p w:rsidR="006B70DB" w:rsidRDefault="007C6976">
      <w:pPr>
        <w:numPr>
          <w:ilvl w:val="0"/>
          <w:numId w:val="1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Martínez Paz, Fernando (1998). “Política educacional: fundamentos y dimensiones”. Academia Nacional de Educación. República Argentina.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Academia Nacional de Educación. Páginas 22 a 27 y 33 a 43 (Capítulo III, V, VI y VII.)</w:t>
      </w:r>
    </w:p>
    <w:p w:rsidR="006B70DB" w:rsidRDefault="007C6976">
      <w:pPr>
        <w:numPr>
          <w:ilvl w:val="0"/>
          <w:numId w:val="1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inisterio de Educación y Deportes de la Nación. (jueves 15 de septiembre de 2016) -Plan estratégico nacional 2016-2021. “Argentina enseña y aprende”- Buenos Aires.</w:t>
      </w:r>
    </w:p>
    <w:p w:rsidR="006B70DB" w:rsidRDefault="006B70DB">
      <w:pPr>
        <w:spacing w:after="0"/>
        <w:ind w:left="1081"/>
        <w:rPr>
          <w:rFonts w:ascii="Arial" w:eastAsia="Arial" w:hAnsi="Arial" w:cs="Arial"/>
        </w:rPr>
      </w:pPr>
    </w:p>
    <w:p w:rsidR="006B70DB" w:rsidRDefault="006B70DB">
      <w:pPr>
        <w:spacing w:after="83"/>
        <w:ind w:left="-5" w:hanging="10"/>
        <w:rPr>
          <w:rFonts w:ascii="Arial" w:eastAsia="Arial" w:hAnsi="Arial" w:cs="Arial"/>
          <w:u w:val="single"/>
        </w:rPr>
      </w:pPr>
    </w:p>
    <w:p w:rsidR="006B70DB" w:rsidRDefault="007C6976">
      <w:pPr>
        <w:spacing w:after="83"/>
        <w:ind w:left="-5" w:hanging="1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b/>
          <w:u w:val="single"/>
        </w:rPr>
        <w:t xml:space="preserve">  Bibliografía obligatoria Unidad N° 3.</w:t>
      </w:r>
    </w:p>
    <w:p w:rsidR="006B70DB" w:rsidRDefault="006B70DB">
      <w:pPr>
        <w:spacing w:after="83"/>
        <w:ind w:left="-5" w:hanging="10"/>
        <w:rPr>
          <w:rFonts w:ascii="Arial" w:eastAsia="Arial" w:hAnsi="Arial" w:cs="Arial"/>
          <w:b/>
          <w:u w:val="single"/>
        </w:rPr>
      </w:pPr>
    </w:p>
    <w:p w:rsidR="006B70DB" w:rsidRDefault="007C6976">
      <w:pPr>
        <w:numPr>
          <w:ilvl w:val="0"/>
          <w:numId w:val="12"/>
        </w:numPr>
        <w:spacing w:after="0"/>
        <w:ind w:left="993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Acri, M (2013) La labor docente como ob</w:t>
      </w:r>
      <w:r>
        <w:rPr>
          <w:rFonts w:ascii="Arial" w:eastAsia="Arial" w:hAnsi="Arial" w:cs="Arial"/>
        </w:rPr>
        <w:t>jeto de estudio en Asociación y Gremios docentes. Las primeras organizaciones y luchas (1881-1930). barco ediciones. Bs. As. Drive</w:t>
      </w:r>
    </w:p>
    <w:p w:rsidR="006B70DB" w:rsidRDefault="007C6976">
      <w:pPr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>
        <w:rPr>
          <w:rFonts w:ascii="Arial" w:eastAsia="Arial" w:hAnsi="Arial" w:cs="Arial"/>
        </w:rPr>
        <w:t>Almandoz, María; Hirschberg, Sonia. (1992). “La docencia: Un trabajo en riesgo”. Colombia. Colección el educador en el cambio.  Pp. 12 a 97</w:t>
      </w:r>
    </w:p>
    <w:p w:rsidR="006B70DB" w:rsidRDefault="007C6976">
      <w:pPr>
        <w:numPr>
          <w:ilvl w:val="0"/>
          <w:numId w:val="12"/>
        </w:numPr>
        <w:spacing w:after="0"/>
        <w:ind w:left="993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Alliaud, Andrea y Antelo, Estanislao. (2011) “Los gajes del oficio. Enseñanza, pedagogía y formación”. Buenos Aires.</w:t>
      </w:r>
      <w:r>
        <w:rPr>
          <w:rFonts w:ascii="Arial" w:eastAsia="Arial" w:hAnsi="Arial" w:cs="Arial"/>
        </w:rPr>
        <w:t xml:space="preserve"> AIQUE. EDUCACIÓN. Capítulo V y VIII.</w:t>
      </w:r>
    </w:p>
    <w:p w:rsidR="006B70DB" w:rsidRDefault="007C6976">
      <w:pPr>
        <w:numPr>
          <w:ilvl w:val="0"/>
          <w:numId w:val="12"/>
        </w:numPr>
        <w:spacing w:after="0"/>
        <w:ind w:left="993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Davini, María. (2015). “La formación en la práctica docente”. Ed. Paidós. Cap. V.</w:t>
      </w:r>
    </w:p>
    <w:p w:rsidR="006B70DB" w:rsidRDefault="007C6976">
      <w:pPr>
        <w:numPr>
          <w:ilvl w:val="0"/>
          <w:numId w:val="12"/>
        </w:numPr>
        <w:spacing w:after="0"/>
        <w:ind w:left="993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Dussel, Inés. (mayo 2004). “Desigualdades sociales y desigualdades escolares en la argentina de hoy. Algunas reflexiones y propuestas”. Buenos Aires. FLACSO.</w:t>
      </w:r>
    </w:p>
    <w:p w:rsidR="006B70DB" w:rsidRDefault="007C6976">
      <w:pPr>
        <w:numPr>
          <w:ilvl w:val="0"/>
          <w:numId w:val="1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Martínez Paz, Fernando (1998). “Política educacional: fundamentos y dimensiones”. Academia Naciona</w:t>
      </w:r>
      <w:r>
        <w:rPr>
          <w:rFonts w:ascii="Arial" w:eastAsia="Arial" w:hAnsi="Arial" w:cs="Arial"/>
        </w:rPr>
        <w:t>l de Educación. República Argentina.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Academia Nacional de Educación. Capítulo IV.</w:t>
      </w:r>
    </w:p>
    <w:p w:rsidR="006B70DB" w:rsidRDefault="007C6976">
      <w:pPr>
        <w:numPr>
          <w:ilvl w:val="0"/>
          <w:numId w:val="12"/>
        </w:numPr>
        <w:spacing w:after="0"/>
        <w:ind w:left="993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Siede, Isabelino: El sentido político de la tarea docente en la Educación Política. Ed. Paidós. Capítulo X.</w:t>
      </w:r>
    </w:p>
    <w:p w:rsidR="006B70DB" w:rsidRDefault="006B70DB">
      <w:pPr>
        <w:spacing w:after="0"/>
        <w:ind w:left="993"/>
        <w:rPr>
          <w:rFonts w:ascii="Arial" w:eastAsia="Arial" w:hAnsi="Arial" w:cs="Arial"/>
        </w:rPr>
      </w:pPr>
    </w:p>
    <w:p w:rsidR="006B70DB" w:rsidRDefault="007C6976">
      <w:pPr>
        <w:numPr>
          <w:ilvl w:val="0"/>
          <w:numId w:val="12"/>
        </w:numPr>
        <w:spacing w:after="0"/>
        <w:ind w:left="993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 Legal</w:t>
      </w:r>
    </w:p>
    <w:p w:rsidR="006B70DB" w:rsidRDefault="007C6976">
      <w:pPr>
        <w:numPr>
          <w:ilvl w:val="1"/>
          <w:numId w:val="1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Estatuto del docente de la Provincia de Bs As. Ley 105</w:t>
      </w:r>
      <w:r>
        <w:rPr>
          <w:rFonts w:ascii="Arial" w:eastAsia="Arial" w:hAnsi="Arial" w:cs="Arial"/>
        </w:rPr>
        <w:t xml:space="preserve">79 </w:t>
      </w:r>
    </w:p>
    <w:p w:rsidR="006B70DB" w:rsidRDefault="007C6976">
      <w:pPr>
        <w:numPr>
          <w:ilvl w:val="1"/>
          <w:numId w:val="12"/>
        </w:numPr>
        <w:spacing w:after="0"/>
        <w:ind w:right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Resolución CFE: 103/10 </w:t>
      </w:r>
    </w:p>
    <w:p w:rsidR="006B70DB" w:rsidRDefault="007C6976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Ley de educación provincial 13688/07. Título IV. COMPLETO.</w:t>
      </w:r>
    </w:p>
    <w:p w:rsidR="006B70DB" w:rsidRDefault="007C6976">
      <w:pPr>
        <w:spacing w:after="0" w:line="259" w:lineRule="auto"/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  <w:u w:val="single"/>
        </w:rPr>
        <w:t xml:space="preserve"> Optativa:</w:t>
      </w:r>
    </w:p>
    <w:p w:rsidR="006B70DB" w:rsidRDefault="007C6976">
      <w:pPr>
        <w:numPr>
          <w:ilvl w:val="0"/>
          <w:numId w:val="3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Tenti Fanfani Emilio (2021).La escuela bajo sospecha.1° edición-Ciudad Autónoma de Buenos Aires: Siglo XXI.</w:t>
      </w:r>
    </w:p>
    <w:p w:rsidR="006B70DB" w:rsidRDefault="006B70DB">
      <w:pPr>
        <w:spacing w:line="360" w:lineRule="auto"/>
        <w:rPr>
          <w:rFonts w:ascii="Times New Roman" w:eastAsia="Times New Roman" w:hAnsi="Times New Roman"/>
        </w:rPr>
      </w:pPr>
    </w:p>
    <w:p w:rsidR="006B70DB" w:rsidRDefault="007C6976">
      <w:pPr>
        <w:spacing w:line="360" w:lineRule="auto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-CRITERIOS E INSTRUMENTOS DE EVALUACIÓN</w:t>
      </w:r>
    </w:p>
    <w:p w:rsidR="006B70DB" w:rsidRDefault="007C6976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</w:rPr>
        <w:t xml:space="preserve">         </w:t>
      </w:r>
      <w:r>
        <w:rPr>
          <w:sz w:val="24"/>
          <w:szCs w:val="24"/>
        </w:rPr>
        <w:t>La propuesta de evaluación de este espacio curricular comenzará con una</w:t>
      </w:r>
    </w:p>
    <w:p w:rsidR="006B70DB" w:rsidRDefault="007C6976">
      <w:pPr>
        <w:spacing w:after="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evaluación diagnóstica, con el fin de precisar los saberes previos de las y los</w:t>
      </w:r>
    </w:p>
    <w:p w:rsidR="006B70DB" w:rsidRDefault="007C6976">
      <w:pPr>
        <w:spacing w:after="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futuros docentes. De acuerdo a esa indagación, se adecuarán las estrategias</w:t>
      </w:r>
    </w:p>
    <w:p w:rsidR="006B70DB" w:rsidRDefault="007C6976">
      <w:pPr>
        <w:spacing w:after="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didácticas para el </w:t>
      </w:r>
      <w:r>
        <w:rPr>
          <w:sz w:val="24"/>
          <w:szCs w:val="24"/>
        </w:rPr>
        <w:t>trabajo en el aula; acompañado de una evaluación continua</w:t>
      </w:r>
    </w:p>
    <w:p w:rsidR="006B70DB" w:rsidRDefault="007C6976">
      <w:pPr>
        <w:spacing w:after="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donde se contemplarán los avances académicos y dificultades de aprendizaje.</w:t>
      </w:r>
    </w:p>
    <w:p w:rsidR="006B70DB" w:rsidRDefault="007C6976">
      <w:pPr>
        <w:spacing w:after="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Desde una mirada formativa de la evaluación,se brindará a cada docente en</w:t>
      </w:r>
    </w:p>
    <w:p w:rsidR="006B70DB" w:rsidRDefault="007C6976">
      <w:pPr>
        <w:spacing w:after="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formación una devolución de los resultados obtenidos en sus producciones orales y escritas, y la aprobación de las mismas es requisito para la acreditación.</w:t>
      </w:r>
    </w:p>
    <w:p w:rsidR="006B70DB" w:rsidRDefault="007C6976">
      <w:pPr>
        <w:spacing w:after="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Pautas de aprobación de la materia y de acreditación</w:t>
      </w:r>
    </w:p>
    <w:p w:rsidR="006B70DB" w:rsidRDefault="007C6976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Aprobarán la cursada todos los es</w:t>
      </w:r>
      <w:r>
        <w:rPr>
          <w:rFonts w:ascii="Arial" w:eastAsia="Arial" w:hAnsi="Arial" w:cs="Arial"/>
        </w:rPr>
        <w:t>tudiantes que puedan dar cuenta de los criterios de evaluación que se  mencionan y de los que serán informado</w:t>
      </w:r>
    </w:p>
    <w:p w:rsidR="006B70DB" w:rsidRDefault="007C6976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estudiantes deberán aprobar todas las instancias del trayecto formativo   propuestos por la cátedra, con la posibilidad de recuperación, de es</w:t>
      </w:r>
      <w:r>
        <w:rPr>
          <w:rFonts w:ascii="Arial" w:eastAsia="Arial" w:hAnsi="Arial" w:cs="Arial"/>
        </w:rPr>
        <w:t>ta manera, aquellos estudiantes que hayan alcanzado la regularidad del espacio curricular estarán en condiciones de rendir el examen final oral para acreditar. </w:t>
      </w:r>
    </w:p>
    <w:p w:rsidR="006B70DB" w:rsidRDefault="007C6976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Presencia a las clases 60 %.</w:t>
      </w:r>
    </w:p>
    <w:p w:rsidR="006B70DB" w:rsidRDefault="007C6976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</w:t>
      </w:r>
      <w:r>
        <w:rPr>
          <w:b/>
          <w:sz w:val="24"/>
          <w:szCs w:val="24"/>
        </w:rPr>
        <w:t xml:space="preserve">Criterios de evaluación </w:t>
      </w:r>
    </w:p>
    <w:p w:rsidR="006B70DB" w:rsidRDefault="007C6976">
      <w:pPr>
        <w:numPr>
          <w:ilvl w:val="0"/>
          <w:numId w:val="6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Asistencia y participación activa en las discusiones y actividades  en clase.(son criterios importantes para evaluar el compromiso y comprensión del estudiante con respecto a  los contenidos brindados en la cátedra). </w:t>
      </w:r>
    </w:p>
    <w:p w:rsidR="006B70DB" w:rsidRDefault="007C6976">
      <w:pPr>
        <w:numPr>
          <w:ilvl w:val="0"/>
          <w:numId w:val="6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Lectura y manejo de la bibliografía.</w:t>
      </w:r>
    </w:p>
    <w:p w:rsidR="006B70DB" w:rsidRDefault="007C6976">
      <w:pPr>
        <w:numPr>
          <w:ilvl w:val="0"/>
          <w:numId w:val="6"/>
        </w:numPr>
        <w:tabs>
          <w:tab w:val="left" w:pos="709"/>
          <w:tab w:val="left" w:pos="113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apacidad para integrar y relacionar la bibliografía brindada en otras cátedras.</w:t>
      </w:r>
    </w:p>
    <w:p w:rsidR="006B70DB" w:rsidRDefault="007C6976">
      <w:pPr>
        <w:numPr>
          <w:ilvl w:val="0"/>
          <w:numId w:val="6"/>
        </w:numPr>
        <w:tabs>
          <w:tab w:val="left" w:pos="709"/>
          <w:tab w:val="left" w:pos="113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Uso del vocabulario específico.</w:t>
      </w:r>
    </w:p>
    <w:p w:rsidR="006B70DB" w:rsidRDefault="007C6976">
      <w:pPr>
        <w:numPr>
          <w:ilvl w:val="0"/>
          <w:numId w:val="6"/>
        </w:numPr>
        <w:tabs>
          <w:tab w:val="left" w:pos="709"/>
          <w:tab w:val="left" w:pos="113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Capacidad crítico-reflexiva.</w:t>
      </w:r>
    </w:p>
    <w:p w:rsidR="006B70DB" w:rsidRDefault="007C6976">
      <w:pPr>
        <w:numPr>
          <w:ilvl w:val="0"/>
          <w:numId w:val="6"/>
        </w:numPr>
        <w:tabs>
          <w:tab w:val="left" w:pos="709"/>
          <w:tab w:val="left" w:pos="113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Dominio de la argumentación y fundamentación.</w:t>
      </w:r>
    </w:p>
    <w:p w:rsidR="006B70DB" w:rsidRDefault="007C6976">
      <w:pPr>
        <w:numPr>
          <w:ilvl w:val="0"/>
          <w:numId w:val="6"/>
        </w:numPr>
        <w:tabs>
          <w:tab w:val="left" w:pos="709"/>
          <w:tab w:val="left" w:pos="113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Habilidad para la realización de esquemas conceptuales, cuadros    co</w:t>
      </w:r>
      <w:r>
        <w:rPr>
          <w:rFonts w:ascii="Arial" w:eastAsia="Arial" w:hAnsi="Arial" w:cs="Arial"/>
        </w:rPr>
        <w:t>mparativos y/o mapas conceptuales.</w:t>
      </w:r>
    </w:p>
    <w:p w:rsidR="006B70DB" w:rsidRDefault="007C6976">
      <w:pPr>
        <w:numPr>
          <w:ilvl w:val="0"/>
          <w:numId w:val="6"/>
        </w:numPr>
        <w:tabs>
          <w:tab w:val="left" w:pos="709"/>
          <w:tab w:val="left" w:pos="113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Presentación de trabajos y proyectos solicitados (grupales e individuales), evaluando en ellos la capacidad del estudiante para investigar, analizar y sistematizar información relevante sobre temas políticos e institucion</w:t>
      </w:r>
      <w:r>
        <w:rPr>
          <w:rFonts w:ascii="Arial" w:eastAsia="Arial" w:hAnsi="Arial" w:cs="Arial"/>
        </w:rPr>
        <w:t>ales, y para comunicar sus ideas de forma clara y coherente.</w:t>
      </w:r>
    </w:p>
    <w:p w:rsidR="006B70DB" w:rsidRDefault="007C6976">
      <w:pPr>
        <w:numPr>
          <w:ilvl w:val="0"/>
          <w:numId w:val="6"/>
        </w:numPr>
        <w:tabs>
          <w:tab w:val="left" w:pos="709"/>
          <w:tab w:val="left" w:pos="113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Presentaciones orales, donde se evaluará la capacidad de comunicar de forma efectiva  ideas sobre temas político institucionales.</w:t>
      </w:r>
    </w:p>
    <w:p w:rsidR="006B70DB" w:rsidRDefault="007C6976">
      <w:pPr>
        <w:spacing w:after="0" w:line="259" w:lineRule="auto"/>
        <w:rPr>
          <w:sz w:val="24"/>
          <w:szCs w:val="24"/>
        </w:rPr>
      </w:pPr>
      <w:r>
        <w:rPr>
          <w:rFonts w:ascii="Arial" w:eastAsia="Arial" w:hAnsi="Arial" w:cs="Arial"/>
        </w:rPr>
        <w:t xml:space="preserve">              </w:t>
      </w:r>
      <w:r>
        <w:rPr>
          <w:b/>
          <w:sz w:val="24"/>
          <w:szCs w:val="24"/>
        </w:rPr>
        <w:t>Instrumentos de evaluación</w:t>
      </w:r>
      <w:r>
        <w:rPr>
          <w:sz w:val="24"/>
          <w:szCs w:val="24"/>
        </w:rPr>
        <w:t xml:space="preserve"> </w:t>
      </w:r>
    </w:p>
    <w:p w:rsidR="006B70DB" w:rsidRDefault="007C6976">
      <w:pPr>
        <w:numPr>
          <w:ilvl w:val="0"/>
          <w:numId w:val="14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Ensayos:Los estudiantes</w:t>
      </w:r>
      <w:r>
        <w:rPr>
          <w:sz w:val="24"/>
          <w:szCs w:val="24"/>
        </w:rPr>
        <w:t xml:space="preserve"> deberán escribir ensayos analizando políticas    institucionales, proponiendo soluciones o evaluando cambios.Los mismos se realizarán en diferentes recortes históricos de nuestra historia de la educación argentina.</w:t>
      </w:r>
    </w:p>
    <w:p w:rsidR="006B70DB" w:rsidRDefault="007C6976">
      <w:pPr>
        <w:numPr>
          <w:ilvl w:val="0"/>
          <w:numId w:val="14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Presentaciones orales con apoyos de los </w:t>
      </w:r>
      <w:r>
        <w:rPr>
          <w:sz w:val="24"/>
          <w:szCs w:val="24"/>
        </w:rPr>
        <w:t>aprendizajes significativos de la cultura digital: se realizará sobre temas específicos de temas abordados en la cátedra,demostrando su comprensión y capacidad para comunicar ideas de manera efectiva.</w:t>
      </w:r>
    </w:p>
    <w:p w:rsidR="006B70DB" w:rsidRDefault="007C6976">
      <w:pPr>
        <w:numPr>
          <w:ilvl w:val="0"/>
          <w:numId w:val="14"/>
        </w:num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Estudio de casos: Se presentan casos que requieran que </w:t>
      </w:r>
      <w:r>
        <w:rPr>
          <w:sz w:val="24"/>
          <w:szCs w:val="24"/>
        </w:rPr>
        <w:t>el o la estudiante apliquen conceptos teóricos a situaciones prácticas , analicen políticas existentes o propongan nuevas políticas para resolver problemas institucionales. estudio de</w:t>
      </w:r>
    </w:p>
    <w:p w:rsidR="006B70DB" w:rsidRDefault="006B70DB">
      <w:pPr>
        <w:spacing w:after="0" w:line="259" w:lineRule="auto"/>
        <w:ind w:left="720"/>
        <w:jc w:val="both"/>
        <w:rPr>
          <w:sz w:val="24"/>
          <w:szCs w:val="24"/>
        </w:rPr>
      </w:pPr>
    </w:p>
    <w:p w:rsidR="006B70DB" w:rsidRDefault="007C6976">
      <w:pPr>
        <w:spacing w:after="0" w:line="259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Estudiantes que rinden en carácter de LIBRE </w:t>
      </w:r>
    </w:p>
    <w:p w:rsidR="006B70DB" w:rsidRDefault="007C6976">
      <w:pPr>
        <w:numPr>
          <w:ilvl w:val="0"/>
          <w:numId w:val="4"/>
        </w:numPr>
        <w:spacing w:after="0" w:line="259" w:lineRule="auto"/>
        <w:jc w:val="both"/>
      </w:pPr>
      <w:r>
        <w:rPr>
          <w:rFonts w:ascii="Arial" w:eastAsia="Arial" w:hAnsi="Arial" w:cs="Arial"/>
        </w:rPr>
        <w:t xml:space="preserve">Es prioridad para la presentación a la instancia de “libre” acordar con el profesor de la cátedra las pautas de dicha evaluación. </w:t>
      </w:r>
    </w:p>
    <w:p w:rsidR="006B70DB" w:rsidRDefault="007C6976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 realizar una evaluación escrita, y en caso de aprobar,rendirá una instancia oral.</w:t>
      </w:r>
    </w:p>
    <w:p w:rsidR="006B70DB" w:rsidRDefault="007C6976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material bibliográfico del progra</w:t>
      </w:r>
      <w:r>
        <w:rPr>
          <w:rFonts w:ascii="Arial" w:eastAsia="Arial" w:hAnsi="Arial" w:cs="Arial"/>
        </w:rPr>
        <w:t xml:space="preserve">ma deberá ser recorrido en su totalidad sumando al mismo la bibliografía que se brindará en un breve encuentro finalizando el ciclo lectivo con la docente de la cátedra. </w:t>
      </w:r>
    </w:p>
    <w:p w:rsidR="006B70DB" w:rsidRDefault="006B70DB">
      <w:pPr>
        <w:spacing w:after="0"/>
        <w:ind w:left="567"/>
        <w:rPr>
          <w:rFonts w:ascii="Arial" w:eastAsia="Arial" w:hAnsi="Arial" w:cs="Arial"/>
        </w:rPr>
      </w:pPr>
    </w:p>
    <w:p w:rsidR="006B70DB" w:rsidRDefault="007C697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</w:t>
      </w:r>
      <w:r>
        <w:rPr>
          <w:sz w:val="24"/>
          <w:szCs w:val="24"/>
        </w:rPr>
        <w:t>rofesora  Aguirre,Andrea Veronica.</w:t>
      </w:r>
    </w:p>
    <w:p w:rsidR="006B70DB" w:rsidRDefault="007C697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Firma y aclaración del docente</w:t>
      </w:r>
    </w:p>
    <w:p w:rsidR="006B70DB" w:rsidRDefault="006B70DB">
      <w:pPr>
        <w:spacing w:line="360" w:lineRule="auto"/>
        <w:rPr>
          <w:rFonts w:ascii="Times New Roman" w:eastAsia="Times New Roman" w:hAnsi="Times New Roman"/>
        </w:rPr>
      </w:pPr>
    </w:p>
    <w:p w:rsidR="006B70DB" w:rsidRDefault="006B70DB">
      <w:pPr>
        <w:spacing w:line="360" w:lineRule="auto"/>
        <w:rPr>
          <w:rFonts w:ascii="Times New Roman" w:eastAsia="Times New Roman" w:hAnsi="Times New Roman"/>
        </w:rPr>
      </w:pPr>
    </w:p>
    <w:p w:rsidR="006B70DB" w:rsidRDefault="006B70DB">
      <w:pPr>
        <w:spacing w:line="360" w:lineRule="auto"/>
        <w:jc w:val="center"/>
        <w:rPr>
          <w:rFonts w:ascii="Times New Roman" w:eastAsia="Times New Roman" w:hAnsi="Times New Roman"/>
          <w:b/>
          <w:color w:val="FF0000"/>
        </w:rPr>
      </w:pPr>
    </w:p>
    <w:p w:rsidR="006B70DB" w:rsidRDefault="006B70DB">
      <w:pPr>
        <w:spacing w:line="360" w:lineRule="auto"/>
        <w:jc w:val="center"/>
        <w:rPr>
          <w:rFonts w:ascii="Times New Roman" w:eastAsia="Times New Roman" w:hAnsi="Times New Roman"/>
          <w:b/>
          <w:color w:val="FF0000"/>
        </w:rPr>
      </w:pPr>
    </w:p>
    <w:sectPr w:rsidR="006B70DB">
      <w:footerReference w:type="default" r:id="rId10"/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76" w:rsidRDefault="007C6976">
      <w:pPr>
        <w:spacing w:after="0" w:line="240" w:lineRule="auto"/>
      </w:pPr>
      <w:r>
        <w:separator/>
      </w:r>
    </w:p>
  </w:endnote>
  <w:endnote w:type="continuationSeparator" w:id="0">
    <w:p w:rsidR="007C6976" w:rsidRDefault="007C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0DB" w:rsidRDefault="007C69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 w:rsidR="00722F3E">
      <w:rPr>
        <w:rFonts w:cs="Calibri"/>
        <w:color w:val="000000"/>
      </w:rPr>
      <w:fldChar w:fldCharType="separate"/>
    </w:r>
    <w:r w:rsidR="00722F3E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:rsidR="006B70DB" w:rsidRDefault="006B70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76" w:rsidRDefault="007C6976">
      <w:pPr>
        <w:spacing w:after="0" w:line="240" w:lineRule="auto"/>
      </w:pPr>
      <w:r>
        <w:separator/>
      </w:r>
    </w:p>
  </w:footnote>
  <w:footnote w:type="continuationSeparator" w:id="0">
    <w:p w:rsidR="007C6976" w:rsidRDefault="007C6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7E6"/>
    <w:multiLevelType w:val="multilevel"/>
    <w:tmpl w:val="00A64424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9A77906"/>
    <w:multiLevelType w:val="multilevel"/>
    <w:tmpl w:val="57FCF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005A39"/>
    <w:multiLevelType w:val="multilevel"/>
    <w:tmpl w:val="03005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F25F4C"/>
    <w:multiLevelType w:val="multilevel"/>
    <w:tmpl w:val="6D26B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8029C1"/>
    <w:multiLevelType w:val="multilevel"/>
    <w:tmpl w:val="FFDE7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C210E7"/>
    <w:multiLevelType w:val="multilevel"/>
    <w:tmpl w:val="32821496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E0E665A"/>
    <w:multiLevelType w:val="multilevel"/>
    <w:tmpl w:val="9BEE99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1F75B69"/>
    <w:multiLevelType w:val="multilevel"/>
    <w:tmpl w:val="0BBA5BF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C941250"/>
    <w:multiLevelType w:val="multilevel"/>
    <w:tmpl w:val="59EC3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EB13F9"/>
    <w:multiLevelType w:val="multilevel"/>
    <w:tmpl w:val="DBBE81B8"/>
    <w:lvl w:ilvl="0">
      <w:start w:val="1"/>
      <w:numFmt w:val="bullet"/>
      <w:lvlText w:val="●"/>
      <w:lvlJc w:val="left"/>
      <w:pPr>
        <w:ind w:left="108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F336DEB"/>
    <w:multiLevelType w:val="multilevel"/>
    <w:tmpl w:val="5F3C0D5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1E4431D"/>
    <w:multiLevelType w:val="multilevel"/>
    <w:tmpl w:val="E6D4E9B0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6EC70ACF"/>
    <w:multiLevelType w:val="multilevel"/>
    <w:tmpl w:val="D522F30C"/>
    <w:lvl w:ilvl="0">
      <w:start w:val="1"/>
      <w:numFmt w:val="bullet"/>
      <w:lvlText w:val="●"/>
      <w:lvlJc w:val="left"/>
      <w:pPr>
        <w:ind w:left="108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45820E4"/>
    <w:multiLevelType w:val="multilevel"/>
    <w:tmpl w:val="2722983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D091C0F"/>
    <w:multiLevelType w:val="multilevel"/>
    <w:tmpl w:val="698CB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DB"/>
    <w:rsid w:val="006B70DB"/>
    <w:rsid w:val="00722F3E"/>
    <w:rsid w:val="007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AB9FB-C879-4CE2-A090-B57E6E20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36"/>
    <w:rPr>
      <w:rFonts w:cs="Times New Roman"/>
    </w:rPr>
  </w:style>
  <w:style w:type="paragraph" w:styleId="Ttulo1">
    <w:name w:val="heading 1"/>
    <w:basedOn w:val="Normal"/>
    <w:link w:val="Ttulo1Car"/>
    <w:qFormat/>
    <w:rsid w:val="0085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85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02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5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5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536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537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rsid w:val="008537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8268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2C26"/>
    <w:rPr>
      <w:i/>
      <w:iCs/>
    </w:rPr>
  </w:style>
  <w:style w:type="paragraph" w:styleId="NormalWeb">
    <w:name w:val="Normal (Web)"/>
    <w:basedOn w:val="Normal"/>
    <w:uiPriority w:val="99"/>
    <w:semiHidden/>
    <w:rsid w:val="008C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8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ulo">
    <w:name w:val="titulo"/>
    <w:basedOn w:val="Fuentedeprrafopredeter"/>
    <w:rsid w:val="00384B20"/>
  </w:style>
  <w:style w:type="character" w:customStyle="1" w:styleId="apple-converted-space">
    <w:name w:val="apple-converted-space"/>
    <w:basedOn w:val="Fuentedeprrafopredeter"/>
    <w:rsid w:val="00384B20"/>
  </w:style>
  <w:style w:type="paragraph" w:styleId="Textonotapie">
    <w:name w:val="footnote text"/>
    <w:basedOn w:val="Normal"/>
    <w:link w:val="TextonotapieCar"/>
    <w:uiPriority w:val="99"/>
    <w:semiHidden/>
    <w:unhideWhenUsed/>
    <w:rsid w:val="00F77D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D3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D34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43YFQKuOcLahmUYcd7crcFcrQ==">CgMxLjAyCGguZ2pkZ3hzOAByITFXRHdlNlNFQzR3N3YySklESjFkTHBMMzJ1M3d1TV9KTw==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Usuario</cp:lastModifiedBy>
  <cp:revision>2</cp:revision>
  <dcterms:created xsi:type="dcterms:W3CDTF">2024-06-06T14:15:00Z</dcterms:created>
  <dcterms:modified xsi:type="dcterms:W3CDTF">2024-06-06T14:15:00Z</dcterms:modified>
</cp:coreProperties>
</file>